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left"/>
      </w:pPr>
      <w:r>
        <w:rPr>
          <w:rFonts w:ascii="Arial" w:hAnsi="Arial"/>
          <w:b/>
          <w:color w:val="1F2968"/>
          <w:sz w:val="24"/>
        </w:rPr>
        <w:t>CONSUMER CORE SOLUTIONS</w:t>
      </w:r>
    </w:p>
    <w:p>
      <w:pPr>
        <w:spacing w:after="280"/>
      </w:pPr>
      <w:r>
        <w:rPr>
          <w:rFonts w:ascii="Arial" w:hAnsi="Arial"/>
          <w:b w:val="0"/>
          <w:i/>
          <w:color w:val="125041"/>
          <w:sz w:val="20"/>
        </w:rPr>
        <w:t>Sample 30-Day Customer Service Onboarding Curriculum · Illustrative</w:t>
      </w:r>
    </w:p>
    <w:p>
      <w:pPr>
        <w:spacing w:before="160" w:after="80"/>
        <w:jc w:val="left"/>
      </w:pPr>
      <w:r>
        <w:rPr>
          <w:rFonts w:ascii="Arial" w:hAnsi="Arial"/>
          <w:b/>
          <w:color w:val="1F2968"/>
          <w:sz w:val="44"/>
        </w:rPr>
        <w:t>30-Day Customer Service Onboarding Curriculum</w:t>
      </w:r>
    </w:p>
    <w:p>
      <w:pPr>
        <w:spacing w:after="360"/>
      </w:pPr>
      <w:r>
        <w:rPr>
          <w:rFonts w:ascii="Arial" w:hAnsi="Arial"/>
          <w:b w:val="0"/>
          <w:i/>
          <w:color w:val="828282"/>
          <w:sz w:val="24"/>
        </w:rPr>
        <w:t>A sample of what you receive in our Training Program Build engagement</w:t>
      </w:r>
    </w:p>
    <w:p>
      <w:pPr>
        <w:spacing w:before="80" w:after="280"/>
        <w:ind w:left="227" w:right="227"/>
      </w:pPr>
      <w:r>
        <w:rPr>
          <w:b/>
          <w:color w:val="1F2968"/>
          <w:sz w:val="20"/>
        </w:rPr>
        <w:t xml:space="preserve">ABOUT THIS SAMPLE: </w:t>
      </w:r>
      <w:r>
        <w:rPr>
          <w:sz w:val="20"/>
        </w:rPr>
        <w:t>This is a structurally complete sample of the curriculum your team would receive. The actual deliverable would be calibrated to your operation — your tools, your contact mix, your tier structure, your brand voice. The framework, assessment rubrics, and progression logic shown here are exactly what we use.</w:t>
      </w:r>
    </w:p>
    <w:p>
      <w:pPr>
        <w:spacing w:before="200" w:after="80"/>
        <w:jc w:val="left"/>
      </w:pPr>
      <w:r>
        <w:rPr>
          <w:rFonts w:ascii="Arial" w:hAnsi="Arial"/>
          <w:b/>
          <w:color w:val="1F2968"/>
          <w:sz w:val="22"/>
        </w:rPr>
        <w:t>Engagement reality check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Training Program Build: $5,500, 6 weeks, fixed scope.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Includes the 30-day curriculum + tier-progression framework + assessment rubrics + certification process + trainer enablement materials.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Train-the-trainer handoff session at engagement close — your team runs the program after.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On-site facilitation available as an add-on.</w:t>
      </w:r>
    </w:p>
    <w:p>
      <w:pPr>
        <w:spacing w:after="40"/>
      </w:pPr>
      <w:r>
        <w:rPr>
          <w:rFonts w:ascii="Arial" w:hAnsi="Arial"/>
          <w:b w:val="0"/>
          <w:i/>
          <w:color w:val="125041"/>
          <w:sz w:val="18"/>
        </w:rPr>
        <w:t>Learn more: consumercoresolutions.com/services/training-program-build</w:t>
      </w:r>
    </w:p>
    <w:p>
      <w:pPr>
        <w:spacing w:after="400"/>
      </w:pPr>
      <w:r>
        <w:rPr>
          <w:rFonts w:ascii="Arial" w:hAnsi="Arial"/>
          <w:b w:val="0"/>
          <w:i/>
          <w:color w:val="125041"/>
          <w:sz w:val="18"/>
        </w:rPr>
        <w:t>Book a discovery call: consumercoresolutions.com/book-discovery-call</w:t>
      </w:r>
    </w:p>
    <w:p>
      <w:pPr>
        <w:spacing w:before="240" w:after="80"/>
        <w:jc w:val="left"/>
      </w:pPr>
      <w:r>
        <w:rPr>
          <w:rFonts w:ascii="Arial" w:hAnsi="Arial"/>
          <w:b/>
          <w:color w:val="1F2968"/>
          <w:sz w:val="32"/>
        </w:rPr>
        <w:t>Program Overview</w:t>
      </w:r>
    </w:p>
    <w:p>
      <w:pPr>
        <w:spacing w:after="80"/>
      </w:pPr>
      <w:r>
        <w:rPr>
          <w:rFonts w:ascii="Arial" w:hAnsi="Arial"/>
          <w:b w:val="0"/>
          <w:i w:val="0"/>
          <w:sz w:val="21"/>
        </w:rPr>
        <w:t>The curriculum delivers a new customer service hire from Day 1 to certified-to-handle-tier-1-contacts in 30 calendar days. The progression assumes the trainee is full-time, has no prior CS experience at your company, and is being onboarded into a multi-channel customer service operation with at least 5 supervisors.</w:t>
      </w:r>
    </w:p>
    <w:p>
      <w:pPr>
        <w:spacing w:after="80"/>
      </w:pPr>
      <w:r>
        <w:rPr>
          <w:rFonts w:ascii="Arial" w:hAnsi="Arial"/>
          <w:b w:val="0"/>
          <w:i w:val="0"/>
          <w:sz w:val="21"/>
        </w:rPr>
        <w:t>If your operation is larger or smaller, the curriculum scales — fewer cohorts and a compressed timeline for smaller teams; cohort-based delivery and assessment standardization for larger teams.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Three-phase structure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Days 1–10: Foundation. Brand voice, product/service knowledge, internal tools, and shadow-only contact exposure.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Days 11–20: Supervised handling. Trainee handles real contacts under close supervision with same-day feedback.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Days 21–30: Independent handling with QA checkpoint. Trainee handles full contact mix; certification assessment on Day 30.</w:t>
      </w:r>
    </w:p>
    <w:p>
      <w:r>
        <w:br w:type="page"/>
      </w:r>
    </w:p>
    <w:p>
      <w:pPr>
        <w:spacing w:before="0" w:after="80"/>
        <w:jc w:val="left"/>
      </w:pPr>
      <w:r>
        <w:rPr>
          <w:rFonts w:ascii="Arial" w:hAnsi="Arial"/>
          <w:b/>
          <w:color w:val="1F2968"/>
          <w:sz w:val="32"/>
        </w:rPr>
        <w:t>Week 1 (Days 1–5): Brand, Product, and Tools</w:t>
      </w:r>
    </w:p>
    <w:p>
      <w:pPr>
        <w:spacing w:after="80"/>
      </w:pPr>
      <w:r>
        <w:rPr>
          <w:rFonts w:ascii="Arial" w:hAnsi="Arial"/>
          <w:b w:val="0"/>
          <w:i w:val="0"/>
          <w:sz w:val="21"/>
        </w:rPr>
        <w:t>Foundation week. Trainee learns who the company is, what it sells, and how the team operates. No live customer contact.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Day 1 — Orientation &amp; Brand Voice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0830-1000: Welcome, paperwork, intros (HR-led)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1000-1130: Company history, mission, customer promise. Facilitator-led.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1130-1230: Brand voice deep-dive — the three-tier voice guide (formal, conversational, empathetic) with worked examples.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1330-1530: Role-play exercise: identifying which voice tier matches each customer situation.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1530-1700: Workspace setup, account access provisioning, shadow assignment for Day 2.</w:t>
      </w:r>
    </w:p>
    <w:p>
      <w:pPr>
        <w:spacing w:after="80"/>
      </w:pPr>
      <w:r>
        <w:rPr>
          <w:rFonts w:ascii="Arial" w:hAnsi="Arial"/>
          <w:b w:val="0"/>
          <w:i/>
          <w:color w:val="828282"/>
          <w:sz w:val="18"/>
        </w:rPr>
        <w:t>ASSESSMENT: Day 1 self-reflection — 'Three things I learned about how we sound to customers.'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Day 2 — Product Knowledge Part 1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0830-1030: Core product/service walkthrough. Live demo of key features customers ask about.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1030-1230: Product positioning — why customers buy, what value we provide, common misperceptions.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1330-1500: Product knowledge quiz #1 (open book; 15 questions; pass = 70%+).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1500-1700: Shadow supervisor (live contact observation, no participation).</w:t>
      </w:r>
    </w:p>
    <w:p>
      <w:pPr>
        <w:spacing w:after="80"/>
      </w:pPr>
      <w:r>
        <w:rPr>
          <w:rFonts w:ascii="Arial" w:hAnsi="Arial"/>
          <w:b w:val="0"/>
          <w:i/>
          <w:color w:val="828282"/>
          <w:sz w:val="18"/>
        </w:rPr>
        <w:t>ASSESSMENT: Product Quiz #1. Trainee must pass to continue to Day 3 product content.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Day 3 — Product Knowledge Part 2 + Edge Cases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0830-1030: Less-common products, complex configurations, regional/legal variations.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1030-1230: Edge cases workshop — the 10 hardest product questions and how senior agents handle them.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1330-1530: Product knowledge quiz #2 (closed book; 25 questions; pass = 75%+).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1530-1700: Tools orientation — CRM, ticketing system, knowledge base structure.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Day 4 — Tools &amp; Process Mastery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0830-1030: Hands-on with CRM/ticketing. Create test tickets, log notes, route to teams.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1030-1230: Knowledge base navigation. Speed-search drill — find article in &lt;30 seconds.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1330-1500: Internal escalation pathways. When to ask for help, who to ask.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1500-1700: Shadow handling of complex contacts with senior agent.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Day 5 — Empathy, De-escalation Foundations + Week 1 Assessment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0830-1030: Empathy fundamentals. The PEARLS framework introduction.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1030-1230: De-escalation foundations — the 4-step model (Acknowledge, Validate, Apologize, Act).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1330-1530: Role-play with senior peer or trainer — 6 customer scenarios, 5 minutes each.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1530-1700: WEEK 1 ASSESSMENT — written + role-play. Trainer scores against the rubric.</w:t>
      </w:r>
    </w:p>
    <w:p>
      <w:pPr>
        <w:spacing w:after="80"/>
      </w:pPr>
      <w:r>
        <w:rPr>
          <w:rFonts w:ascii="Arial" w:hAnsi="Arial"/>
          <w:b/>
          <w:i w:val="0"/>
          <w:color w:val="1F2968"/>
          <w:sz w:val="20"/>
        </w:rPr>
        <w:t>WEEK 1 GATE: Trainee must achieve 70%+ on assessment to proceed to Week 2 supervised contact handling. If not, additional remediation Day 6-7 before progressing.</w:t>
      </w:r>
    </w:p>
    <w:p>
      <w:r>
        <w:br w:type="page"/>
      </w:r>
    </w:p>
    <w:p>
      <w:pPr>
        <w:spacing w:before="0" w:after="80"/>
        <w:jc w:val="left"/>
      </w:pPr>
      <w:r>
        <w:rPr>
          <w:rFonts w:ascii="Arial" w:hAnsi="Arial"/>
          <w:b/>
          <w:color w:val="1F2968"/>
          <w:sz w:val="32"/>
        </w:rPr>
        <w:t>Week 2 (Days 6–10): Supervised Live Contact Handling</w:t>
      </w:r>
    </w:p>
    <w:p>
      <w:pPr>
        <w:spacing w:after="80"/>
      </w:pPr>
      <w:r>
        <w:rPr>
          <w:rFonts w:ascii="Arial" w:hAnsi="Arial"/>
          <w:b w:val="0"/>
          <w:i w:val="0"/>
          <w:sz w:val="21"/>
        </w:rPr>
        <w:t>Trainee begins handling real customer contacts with a supervisor sitting alongside (or screen-shared). Same-day debrief on every contact.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Daily structure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0830-0900: Daily huddle. Yesterday's debrief, today's focus area, current product/policy updates.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0900-1200: Supervised live contacts — 8-12 per morning. Supervisor co-listens, takes notes, can intervene.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1200-1300: Lunch.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1300-1500: Continued supervised contacts.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1500-1600: Debrief. Trainer walks through 2 contacts in depth with the trainee.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1600-1700: Self-directed learning — review KB articles related to today's contact mix.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Daily focus areas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Day 6: Account inquiries — billing, password reset, profile updates. Lowest-complexity contacts.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Day 7: Product questions — pre-purchase, post-purchase setup, feature usage.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Day 8: Returns and refunds — policy application, exception handling, system processing.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Day 9: Complaints — initial intake, empathetic acknowledgment, first-attempt resolution.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Day 10: WEEK 2 ASSESSMENT — supervisor scores 5 random recorded/live contacts against the QA scorecard.</w:t>
      </w:r>
    </w:p>
    <w:p>
      <w:pPr>
        <w:spacing w:after="80"/>
      </w:pPr>
      <w:r>
        <w:rPr>
          <w:rFonts w:ascii="Arial" w:hAnsi="Arial"/>
          <w:b/>
          <w:i w:val="0"/>
          <w:color w:val="1F2968"/>
          <w:sz w:val="20"/>
        </w:rPr>
        <w:t>WEEK 2 GATE: Trainee must score 70%+ on the 5-contact assessment AND demonstrate adherence to escalation thresholds. If not, additional supervised handling Day 11-12 before progressing to independent handling.</w:t>
      </w:r>
    </w:p>
    <w:p>
      <w:r>
        <w:br w:type="page"/>
      </w:r>
    </w:p>
    <w:p>
      <w:pPr>
        <w:spacing w:before="0" w:after="80"/>
        <w:jc w:val="left"/>
      </w:pPr>
      <w:r>
        <w:rPr>
          <w:rFonts w:ascii="Arial" w:hAnsi="Arial"/>
          <w:b/>
          <w:color w:val="1F2968"/>
          <w:sz w:val="32"/>
        </w:rPr>
        <w:t>Week 3 (Days 11–20): Independent Handling, QA Checkpoint</w:t>
      </w:r>
    </w:p>
    <w:p>
      <w:pPr>
        <w:spacing w:after="80"/>
      </w:pPr>
      <w:r>
        <w:rPr>
          <w:rFonts w:ascii="Arial" w:hAnsi="Arial"/>
          <w:b w:val="0"/>
          <w:i w:val="0"/>
          <w:sz w:val="21"/>
        </w:rPr>
        <w:t>Trainee handles the full Tier 1 contact mix independently. Supervisor reviews completed contacts via QA scorecard rather than co-listening live.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Days 11–15 — Independent handling, daily review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Daily contact target: 30-40 contacts (or your team's standard).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Daily check-in with supervisor — 15 minutes morning, 15 minutes EOD.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3 contacts QA-scored per day by supervisor; results reviewed next-day.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Trainee may escalate to supervisor at any time — no shame in asking.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Day 13: 1:1 with trainer to review progress, surface concerns.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Day 15: Mid-Week 3 QA snapshot — trailing 5-day QA average, calibrated against tenure benchmark.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Days 16–20 — Expanded contact mix, peer collaboration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Add Tier 1.5 contacts: low-complexity escalations, multi-system tickets.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Pair with rotating senior peer for 30 min/day to learn one specific skill (de-escalation, complex troubleshooting, etc.).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Day 20: WEEK 3 ASSESSMENT — full QA review of trailing 20 contacts, plus 2 role-play scenarios.</w:t>
      </w:r>
    </w:p>
    <w:p>
      <w:pPr>
        <w:spacing w:after="80"/>
      </w:pPr>
      <w:r>
        <w:rPr>
          <w:rFonts w:ascii="Arial" w:hAnsi="Arial"/>
          <w:b/>
          <w:i w:val="0"/>
          <w:color w:val="1F2968"/>
          <w:sz w:val="20"/>
        </w:rPr>
        <w:t>WEEK 3 GATE: Sustained 75%+ QA score across the 20-contact review. If not met, return to supervised handling for 5 days with focused coaching plan.</w:t>
      </w:r>
    </w:p>
    <w:p>
      <w:pPr>
        <w:spacing w:before="240" w:after="80"/>
        <w:jc w:val="left"/>
      </w:pPr>
      <w:r>
        <w:rPr>
          <w:rFonts w:ascii="Arial" w:hAnsi="Arial"/>
          <w:b/>
          <w:color w:val="1F2968"/>
          <w:sz w:val="32"/>
        </w:rPr>
        <w:t>Week 4 (Days 21–30): Tier 1 Certification</w:t>
      </w:r>
    </w:p>
    <w:p>
      <w:pPr>
        <w:spacing w:after="80"/>
      </w:pPr>
      <w:r>
        <w:rPr>
          <w:rFonts w:ascii="Arial" w:hAnsi="Arial"/>
          <w:b w:val="0"/>
          <w:i w:val="0"/>
          <w:sz w:val="21"/>
        </w:rPr>
        <w:t>Final week. Trainee handles the full Tier 1 contact mix at full volume. Day 30 is certification day.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Days 21–28 — Full production, focused improvement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Daily contact volume at full tenure-1 target.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Two coaching 1:1s during the week (30 min each).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One peer-observation day where a Tier 2 agent observes the trainee for 90 minutes and provides feedback.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Day 24: Trainee surfaces one specific contact type or skill they want focused coaching on; plan built for Days 25-28.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Day 29 — Certification prep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Morning: Trainee reviews their last 20 QA scorecards; identifies trends.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Afternoon: 90-minute final role-play assessment — 4 scenarios covering empathy, product knowledge, de-escalation, and escalation judgment.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Day 30 — Certification Day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0830-1030: Final written assessment (45 minutes) + QA review of 10 most recent contacts.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1030-1130: Certification interview with trainer and supervisor. Review of curriculum, self-reflection, gaps identified.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1130-1230: Certification decision delivered.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1230 onward: If certified — celebrated and transitioned to full team integration. If not certified — coaching plan built for Days 31-45 with retake on Day 45.</w:t>
      </w:r>
    </w:p>
    <w:p>
      <w:pPr>
        <w:spacing w:after="80"/>
      </w:pPr>
      <w:r>
        <w:rPr>
          <w:rFonts w:ascii="Arial" w:hAnsi="Arial"/>
          <w:b/>
          <w:i w:val="0"/>
          <w:color w:val="1F2968"/>
          <w:sz w:val="20"/>
        </w:rPr>
        <w:t>CERTIFICATION BAR: 75%+ on QA scorecard review, 70%+ on written assessment, passing assessment on role-play, and supervisor confidence the trainee can independently handle the Tier 1 mix.</w:t>
      </w:r>
    </w:p>
    <w:p>
      <w:r>
        <w:br w:type="page"/>
      </w:r>
    </w:p>
    <w:p>
      <w:pPr>
        <w:spacing w:before="0" w:after="80"/>
        <w:jc w:val="left"/>
      </w:pPr>
      <w:r>
        <w:rPr>
          <w:rFonts w:ascii="Arial" w:hAnsi="Arial"/>
          <w:b/>
          <w:color w:val="1F2968"/>
          <w:sz w:val="32"/>
        </w:rPr>
        <w:t>Assessment Framework</w:t>
      </w:r>
    </w:p>
    <w:p>
      <w:pPr>
        <w:spacing w:after="80"/>
      </w:pPr>
      <w:r>
        <w:rPr>
          <w:rFonts w:ascii="Arial" w:hAnsi="Arial"/>
          <w:b w:val="0"/>
          <w:i w:val="0"/>
          <w:sz w:val="21"/>
        </w:rPr>
        <w:t>Every gate uses one or more of four assessment instruments. The full engagement delivers all four calibrated to your operation.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1. Written knowledge assessment</w:t>
      </w:r>
    </w:p>
    <w:p>
      <w:pPr>
        <w:spacing w:after="80"/>
      </w:pPr>
      <w:r>
        <w:rPr>
          <w:rFonts w:ascii="Arial" w:hAnsi="Arial"/>
          <w:b w:val="0"/>
          <w:i w:val="0"/>
          <w:sz w:val="21"/>
        </w:rPr>
        <w:t>Multiple-choice and short-answer covering product, policy, process, and brand voice. Standardized across cohorts for benchmarking. Updated quarterly as product/policy evolves.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2. QA scorecard application</w:t>
      </w:r>
    </w:p>
    <w:p>
      <w:pPr>
        <w:spacing w:after="80"/>
      </w:pPr>
      <w:r>
        <w:rPr>
          <w:rFonts w:ascii="Arial" w:hAnsi="Arial"/>
          <w:b w:val="0"/>
          <w:i w:val="0"/>
          <w:sz w:val="21"/>
        </w:rPr>
        <w:t>The same 20-item QA scorecard used in production evaluation, applied to the trainee's actual contacts. Sampling is structured: 5 contacts per assessment, spread across contact types and channels.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3. Role-play assessment</w:t>
      </w:r>
    </w:p>
    <w:p>
      <w:pPr>
        <w:spacing w:after="80"/>
      </w:pPr>
      <w:r>
        <w:rPr>
          <w:rFonts w:ascii="Arial" w:hAnsi="Arial"/>
          <w:b w:val="0"/>
          <w:i w:val="0"/>
          <w:sz w:val="21"/>
        </w:rPr>
        <w:t>Standardized scenarios performed with a senior agent or trainer playing the customer. Four scenarios per assessment, covering empathy/de-escalation, product complexity, escalation judgment, and resolution efficiency. Scored against a behaviorally-anchored rubric.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4. Supervisor confidence check</w:t>
      </w:r>
    </w:p>
    <w:p>
      <w:pPr>
        <w:spacing w:after="80"/>
      </w:pPr>
      <w:r>
        <w:rPr>
          <w:rFonts w:ascii="Arial" w:hAnsi="Arial"/>
          <w:b w:val="0"/>
          <w:i w:val="0"/>
          <w:sz w:val="21"/>
        </w:rPr>
        <w:t>Structured 1:1 between trainee and supervisor at each gate. Three questions: Can this person handle the next tier of contacts independently? What specifically would derail them? What additional support do they need? Supervisor must affirm to pass the gate.</w:t>
      </w:r>
    </w:p>
    <w:p>
      <w:pPr>
        <w:spacing w:before="240" w:after="80"/>
        <w:jc w:val="left"/>
      </w:pPr>
      <w:r>
        <w:rPr>
          <w:rFonts w:ascii="Arial" w:hAnsi="Arial"/>
          <w:b/>
          <w:color w:val="1F2968"/>
          <w:sz w:val="32"/>
        </w:rPr>
        <w:t>Tier Progression Beyond Day 30</w:t>
      </w:r>
    </w:p>
    <w:p>
      <w:pPr>
        <w:spacing w:after="80"/>
      </w:pPr>
      <w:r>
        <w:rPr>
          <w:rFonts w:ascii="Arial" w:hAnsi="Arial"/>
          <w:b w:val="0"/>
          <w:i w:val="0"/>
          <w:sz w:val="21"/>
        </w:rPr>
        <w:t>Certification at Day 30 only certifies for Tier 1. The full engagement delivers a tier-progression framework that takes a certified agent from Tier 1 through Tier 2 and Tier 3 over the following 6-12 months.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Typical tier structure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Tier 1: Standard contact mix, escalates complex issues. Certified Day 30.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Tier 2: Handles escalated issues, supports Tier 1 agents. Eligible at Day 90 with sustained QA performance.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Tier 3: Subject matter expert, handles VIP/sensitive contacts, mentors Tier 1. Eligible at Month 9-12.</w:t>
      </w:r>
    </w:p>
    <w:p>
      <w:pPr>
        <w:spacing w:after="80"/>
      </w:pPr>
      <w:r>
        <w:rPr>
          <w:rFonts w:ascii="Arial" w:hAnsi="Arial"/>
          <w:b w:val="0"/>
          <w:i/>
          <w:color w:val="828282"/>
          <w:sz w:val="21"/>
        </w:rPr>
        <w:t>Progression to each tier requires: sustained QA score above tier threshold, demonstrated competency on tier-specific skills, supervisor recommendation, and a structured tier-up assessment.</w:t>
      </w:r>
    </w:p>
    <w:p>
      <w:r>
        <w:br w:type="page"/>
      </w:r>
    </w:p>
    <w:p>
      <w:pPr>
        <w:spacing w:before="0" w:after="80"/>
        <w:jc w:val="left"/>
      </w:pPr>
      <w:r>
        <w:rPr>
          <w:rFonts w:ascii="Arial" w:hAnsi="Arial"/>
          <w:b/>
          <w:color w:val="1F2968"/>
          <w:sz w:val="32"/>
        </w:rPr>
        <w:t>What you actually receive in the engagement</w:t>
      </w:r>
    </w:p>
    <w:p>
      <w:pPr>
        <w:spacing w:after="80"/>
      </w:pPr>
      <w:r>
        <w:rPr>
          <w:rFonts w:ascii="Arial" w:hAnsi="Arial"/>
          <w:b w:val="0"/>
          <w:i w:val="0"/>
          <w:sz w:val="21"/>
        </w:rPr>
        <w:t>This sample shows the structure. The actual Training Program Build engagement delivers: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This 30-day curriculum, calibrated to your tools, your products, your brand voice, your contact mix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Day-by-day facilitator guide with talking points, role-play scripts, and quiz questions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Trainee handbook (printable or digital)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The QA scorecard used in assessments (same one used in production QA)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Tier-progression framework with skill maps, assessments, and supervisor coaching prompts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Certification process with rubrics, scoring sheets, and reporting templates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Trainer enablement materials — what your internal trainer needs to deliver the program</w:t>
      </w:r>
    </w:p>
    <w:p>
      <w:pPr>
        <w:pStyle w:val="ListBullet"/>
        <w:spacing w:after="40"/>
      </w:pPr>
      <w:r>
        <w:rPr>
          <w:rFonts w:ascii="Arial" w:hAnsi="Arial"/>
          <w:sz w:val="20"/>
        </w:rPr>
        <w:t>Train-the-trainer handoff session at engagement close</w:t>
      </w:r>
    </w:p>
    <w:p>
      <w:pPr>
        <w:spacing w:before="240" w:after="80"/>
        <w:jc w:val="left"/>
      </w:pPr>
      <w:r>
        <w:rPr>
          <w:rFonts w:ascii="Arial" w:hAnsi="Arial"/>
          <w:b/>
          <w:color w:val="125041"/>
          <w:sz w:val="24"/>
        </w:rPr>
        <w:t>Next step</w:t>
      </w:r>
    </w:p>
    <w:p>
      <w:pPr>
        <w:spacing w:after="40"/>
      </w:pPr>
      <w:r>
        <w:rPr>
          <w:rFonts w:ascii="Arial" w:hAnsi="Arial"/>
          <w:b w:val="0"/>
          <w:i/>
          <w:color w:val="125041"/>
          <w:sz w:val="20"/>
        </w:rPr>
        <w:t>View the engagement page: consumercoresolutions.com/services/training-program-build</w:t>
      </w:r>
    </w:p>
    <w:p>
      <w:pPr>
        <w:spacing w:after="400"/>
      </w:pPr>
      <w:r>
        <w:rPr>
          <w:rFonts w:ascii="Arial" w:hAnsi="Arial"/>
          <w:b w:val="0"/>
          <w:i/>
          <w:color w:val="125041"/>
          <w:sz w:val="20"/>
        </w:rPr>
        <w:t>Book a discovery call: consumercoresolutions.com/book-discovery-call</w:t>
      </w:r>
    </w:p>
    <w:p>
      <w:pPr>
        <w:spacing w:after="80"/>
      </w:pPr>
      <w:r>
        <w:rPr>
          <w:rFonts w:ascii="Arial" w:hAnsi="Arial"/>
          <w:b w:val="0"/>
          <w:i/>
          <w:color w:val="828282"/>
          <w:sz w:val="18"/>
        </w:rPr>
        <w:t>Consumer Core Solutions, LLC · consumercoresolutions.com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